
<file path=[Content_Types].xml><?xml version="1.0" encoding="utf-8"?>
<Types xmlns="http://schemas.openxmlformats.org/package/2006/content-types">
  <Default Extension="rels" ContentType="application/vnd.openxmlformats-package.relationships+xml"/>
  <Default Extension="jpeg" ContentType="image/jpeg"/>
  <Default Extension="png" ContentType="image/png"/>
  <Default Extension="svg" ContentType="image/svg+xml"/>
  <Default Extension="xml" ContentType="application/xml"/>
  <Default Extension="jpg" ContentType="application/octet-stream"/>
  <Override PartName="/_rels/.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word/settings.xml" ContentType="application/vnd.openxmlformats-officedocument.wordprocessingml.settings+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a="http://schemas.openxmlformats.org/drawingml/2006/main" xmlns:cdr="http://schemas.openxmlformats.org/drawingml/2006/chartDrawing" xmlns:o="urn:schemas-microsoft-com:office:office" xmlns:pic="http://schemas.openxmlformats.org/drawingml/2006/picture" xmlns:r="http://schemas.openxmlformats.org/officeDocument/2006/relationships" xmlns:m="http://schemas.openxmlformats.org/officeDocument/2006/math" xmlns:v="urn:schemas-microsoft-com:vml" xmlns:ve="http://schemas.openxmlformats.org/markup-compatibility/2006" xmlns:vt="http://schemas.openxmlformats.org/officeDocument/2006/docPropsVTypes" xmlns:w="http://schemas.openxmlformats.org/wordprocessingml/2006/main" xmlns:w10="urn:schemas-microsoft-com:office:word" xmlns:wp="http://schemas.openxmlformats.org/drawingml/2006/wordprocessingDrawing" xmlns:wne="http://schemas.microsoft.com/office/word/2006/wordml" xmlns:a14="http://schemas.microsoft.com/office/drawing/2010/main" xmlns:asvg="http://schemas.microsoft.com/office/drawing/2016/SVG/main">
  <w:body>
    <w:p>
      <w:pPr>
        <w:spacing w:line="360" w:after="0" w:lineRule="auto"/>
      </w:pPr>
      <w:r>
        <w:rPr>
          <w:rFonts w:eastAsia="inter" w:cs="inter" w:ascii="inter" w:hAnsi="inter"/>
          <w:color w:val="000000"/>
        </w:rPr>
        <w:drawing>
          <wp:inline distB="0" distL="0" distR="0" distT="0">
            <wp:extent cx="2420112" cy="609600"/>
            <wp:effectExtent b="0" l="0" r="0" t="0"/>
            <wp:docPr id="1" name="image-28cf29c858610a4ff0c45954f0d5cde2ed3595eb.png"/>
            <a:graphic>
              <a:graphicData uri="http://schemas.openxmlformats.org/drawingml/2006/picture">
                <pic:pic>
                  <pic:nvPicPr>
                    <pic:cNvPr id="1" name="image-28cf29c858610a4ff0c45954f0d5cde2ed3595eb.png" descr=""/>
                    <pic:cNvPicPr/>
                  </pic:nvPicPr>
                  <pic:blipFill>
                    <a:blip r:embed="rId5" cstate="print"/>
                    <a:srcRect b="0" l="0" r="0" t="0"/>
                    <a:stretch>
                      <a:fillRect/>
                    </a:stretch>
                  </pic:blipFill>
                  <pic:spPr>
                    <a:xfrm>
                      <a:off x="0" y="0"/>
                      <a:ext cx="2420112" cy="609600"/>
                    </a:xfrm>
                    <a:prstGeom prst="rect"/>
                  </pic:spPr>
                </pic:pic>
              </a:graphicData>
            </a:graphic>
          </wp:inline>
        </w:drawing>
      </w:r>
    </w:p>
    <w:p>
      <w:pPr>
        <w:spacing w:line="270" w:before="157.5" w:after="157.5" w:lineRule="auto"/>
        <w:jc w:val="left"/>
      </w:pPr>
      <w:r>
        <w:rPr>
          <w:rFonts w:eastAsia="inter" w:cs="inter" w:ascii="inter" w:hAnsi="inter"/>
          <w:b/>
          <w:color w:val="000000"/>
          <w:sz w:val="39"/>
        </w:rPr>
        <w:t xml:space="preserve">I am going to produce gold wasser, So i want to know detailed manufacturing process and chemical structure, material consistance.</w:t>
      </w:r>
    </w:p>
    <w:p>
      <w:pPr>
        <w:spacing w:line="360" w:after="210" w:lineRule="auto"/>
      </w:pPr>
      <w:r>
        <w:rPr>
          <w:rFonts w:eastAsia="inter" w:cs="inter" w:ascii="inter" w:hAnsi="inter"/>
          <w:color w:val="000000"/>
        </w:rPr>
        <w:t xml:space="preserve">Give me detailed data, source, image and so on</w:t>
      </w:r>
    </w:p>
    <w:p>
      <w:pPr>
        <w:spacing w:line="360" w:after="210" w:lineRule="auto"/>
      </w:pPr>
      <w:r>
        <w:rPr>
          <w:rFonts w:eastAsia="inter" w:cs="inter" w:ascii="inter" w:hAnsi="inter"/>
          <w:color w:val="000000"/>
        </w:rPr>
        <w:t xml:space="preserve">To produce Goldwasser, begin with macerating a complex blend of botanicals in high-proof neutral grain spirit, followed by sweetening, filtration, and addition of edible gold leaf flakes. Goldwasser’s “chemical structure” primarily refers to the ethanol base and suspended gold flakes, while the material consistency comes from carefully extracted herbal components, syrup, and gold.</w:t>
      </w:r>
      <w:bookmarkStart w:id="0" w:name="fnref1"/>
      <w:bookmarkEnd w:id="0"/>
      <w:hyperlink w:anchor="fn1">
        <w:r>
          <w:rPr>
            <w:rFonts w:eastAsia="inter" w:cs="inter" w:ascii="inter" w:hAnsi="inter"/>
            <w:color w:val="#000"/>
            <w:u w:val="single"/>
            <w:vertAlign w:val="superscript"/>
          </w:rPr>
          <w:t xml:space="preserve">[1]</w:t>
        </w:r>
      </w:hyperlink>
      <w:bookmarkStart w:id="1" w:name="fnref2"/>
      <w:bookmarkEnd w:id="1"/>
      <w:hyperlink w:anchor="fn2">
        <w:r>
          <w:rPr>
            <w:rFonts w:eastAsia="inter" w:cs="inter" w:ascii="inter" w:hAnsi="inter"/>
            <w:color w:val="#000"/>
            <w:u w:val="single"/>
            <w:vertAlign w:val="superscript"/>
          </w:rPr>
          <w:t xml:space="preserve">[2]</w:t>
        </w:r>
      </w:hyperlink>
    </w:p>
    <w:p>
      <w:pPr>
        <w:spacing w:line="360" w:before="315" w:after="105" w:lineRule="auto"/>
        <w:ind w:left="-30"/>
        <w:jc w:val="left"/>
      </w:pPr>
      <w:r>
        <w:rPr>
          <w:rFonts w:eastAsia="inter" w:cs="inter" w:ascii="inter" w:hAnsi="inter"/>
          <w:b/>
          <w:color w:val="000000"/>
          <w:sz w:val="24"/>
        </w:rPr>
        <w:t xml:space="preserve">Detailed Manufacturing Process</w:t>
      </w:r>
    </w:p>
    <w:p>
      <w:pPr>
        <w:numPr>
          <w:ilvl w:val="0"/>
          <w:numId w:val="1"/>
        </w:numPr>
        <w:spacing w:line="360" w:before="105" w:after="105" w:lineRule="auto"/>
      </w:pPr>
      <w:r>
        <w:rPr>
          <w:rFonts w:eastAsia="inter" w:cs="inter" w:ascii="inter" w:hAnsi="inter"/>
          <w:b/>
          <w:color w:val="000000"/>
          <w:sz w:val="21"/>
        </w:rPr>
        <w:t xml:space="preserve">Botanical Maceration</w:t>
      </w:r>
      <w:r>
        <w:rPr>
          <w:rFonts w:eastAsia="inter" w:cs="inter" w:ascii="inter" w:hAnsi="inter"/>
          <w:color w:val="000000"/>
          <w:sz w:val="21"/>
        </w:rPr>
        <w:t xml:space="preserve">: Place botanicals—Chinese and/or Ceylonese cinnamon, anise seeds, juniper berries, nutmeg, orris root, rosemary flowers, cardamom (both greater and lesser), coriander, ambrette seeds, cloves, fresh orange and lemon peels—into 85° neutral grain spirit for 24 hours.</w:t>
      </w:r>
      <w:bookmarkStart w:id="2" w:name="fnref1:1"/>
      <w:bookmarkEnd w:id="2"/>
      <w:hyperlink w:anchor="fn1">
        <w:r>
          <w:rPr>
            <w:rFonts w:eastAsia="inter" w:cs="inter" w:ascii="inter" w:hAnsi="inter"/>
            <w:color w:val="#000"/>
            <w:sz w:val="21"/>
            <w:u w:val="single"/>
            <w:vertAlign w:val="superscript"/>
          </w:rPr>
          <w:t xml:space="preserve">[1]</w:t>
        </w:r>
      </w:hyperlink>
    </w:p>
    <w:p>
      <w:pPr>
        <w:numPr>
          <w:ilvl w:val="0"/>
          <w:numId w:val="1"/>
        </w:numPr>
        <w:spacing w:line="360" w:before="105" w:after="105" w:lineRule="auto"/>
      </w:pPr>
      <w:r>
        <w:rPr>
          <w:rFonts w:eastAsia="inter" w:cs="inter" w:ascii="inter" w:hAnsi="inter"/>
          <w:b/>
          <w:color w:val="000000"/>
          <w:sz w:val="21"/>
        </w:rPr>
        <w:t xml:space="preserve">Filtration</w:t>
      </w:r>
      <w:r>
        <w:rPr>
          <w:rFonts w:eastAsia="inter" w:cs="inter" w:ascii="inter" w:hAnsi="inter"/>
          <w:color w:val="000000"/>
          <w:sz w:val="21"/>
        </w:rPr>
        <w:t xml:space="preserve">: Filter the macerated liquid to remove solid botanical matter.</w:t>
      </w:r>
      <w:bookmarkStart w:id="3" w:name="fnref1:2"/>
      <w:bookmarkEnd w:id="3"/>
      <w:hyperlink w:anchor="fn1">
        <w:r>
          <w:rPr>
            <w:rFonts w:eastAsia="inter" w:cs="inter" w:ascii="inter" w:hAnsi="inter"/>
            <w:color w:val="#000"/>
            <w:sz w:val="21"/>
            <w:u w:val="single"/>
            <w:vertAlign w:val="superscript"/>
          </w:rPr>
          <w:t xml:space="preserve">[1]</w:t>
        </w:r>
      </w:hyperlink>
    </w:p>
    <w:p>
      <w:pPr>
        <w:numPr>
          <w:ilvl w:val="0"/>
          <w:numId w:val="1"/>
        </w:numPr>
        <w:spacing w:line="360" w:before="105" w:after="105" w:lineRule="auto"/>
      </w:pPr>
      <w:r>
        <w:rPr>
          <w:rFonts w:eastAsia="inter" w:cs="inter" w:ascii="inter" w:hAnsi="inter"/>
          <w:b/>
          <w:color w:val="000000"/>
          <w:sz w:val="21"/>
        </w:rPr>
        <w:t xml:space="preserve">Sweetening</w:t>
      </w:r>
      <w:r>
        <w:rPr>
          <w:rFonts w:eastAsia="inter" w:cs="inter" w:ascii="inter" w:hAnsi="inter"/>
          <w:color w:val="000000"/>
          <w:sz w:val="21"/>
        </w:rPr>
        <w:t xml:space="preserve">: Add sugar syrup to create the signature liqueur base.</w:t>
      </w:r>
      <w:bookmarkStart w:id="4" w:name="fnref1:3"/>
      <w:bookmarkEnd w:id="4"/>
      <w:hyperlink w:anchor="fn1">
        <w:r>
          <w:rPr>
            <w:rFonts w:eastAsia="inter" w:cs="inter" w:ascii="inter" w:hAnsi="inter"/>
            <w:color w:val="#000"/>
            <w:sz w:val="21"/>
            <w:u w:val="single"/>
            <w:vertAlign w:val="superscript"/>
          </w:rPr>
          <w:t xml:space="preserve">[1]</w:t>
        </w:r>
      </w:hyperlink>
    </w:p>
    <w:p>
      <w:pPr>
        <w:numPr>
          <w:ilvl w:val="0"/>
          <w:numId w:val="1"/>
        </w:numPr>
        <w:spacing w:line="360" w:before="105" w:after="105" w:lineRule="auto"/>
      </w:pPr>
      <w:r>
        <w:rPr>
          <w:rFonts w:eastAsia="inter" w:cs="inter" w:ascii="inter" w:hAnsi="inter"/>
          <w:b/>
          <w:color w:val="000000"/>
          <w:sz w:val="21"/>
        </w:rPr>
        <w:t xml:space="preserve">Gold Leaf Addition</w:t>
      </w:r>
      <w:r>
        <w:rPr>
          <w:rFonts w:eastAsia="inter" w:cs="inter" w:ascii="inter" w:hAnsi="inter"/>
          <w:color w:val="000000"/>
          <w:sz w:val="21"/>
        </w:rPr>
        <w:t xml:space="preserve">: Dissolve or suspend edible gold leaf flakes in the sweetened, filtered liqueur. Edible gold is almost chemically inert and passes safely through the body, so use genuine food-grade gold leaf (22–23 karats) for authenticity.</w:t>
      </w:r>
      <w:bookmarkStart w:id="5" w:name="fnref3"/>
      <w:bookmarkEnd w:id="5"/>
      <w:hyperlink w:anchor="fn3">
        <w:r>
          <w:rPr>
            <w:rFonts w:eastAsia="inter" w:cs="inter" w:ascii="inter" w:hAnsi="inter"/>
            <w:color w:val="#000"/>
            <w:sz w:val="21"/>
            <w:u w:val="single"/>
            <w:vertAlign w:val="superscript"/>
          </w:rPr>
          <w:t xml:space="preserve">[3]</w:t>
        </w:r>
      </w:hyperlink>
    </w:p>
    <w:p>
      <w:pPr>
        <w:numPr>
          <w:ilvl w:val="0"/>
          <w:numId w:val="1"/>
        </w:numPr>
        <w:spacing w:line="360" w:before="105" w:after="105" w:lineRule="auto"/>
      </w:pPr>
      <w:r>
        <w:rPr>
          <w:rFonts w:eastAsia="inter" w:cs="inter" w:ascii="inter" w:hAnsi="inter"/>
          <w:b/>
          <w:color w:val="000000"/>
          <w:sz w:val="21"/>
        </w:rPr>
        <w:t xml:space="preserve">Blending and Bottling</w:t>
      </w:r>
      <w:r>
        <w:rPr>
          <w:rFonts w:eastAsia="inter" w:cs="inter" w:ascii="inter" w:hAnsi="inter"/>
          <w:color w:val="000000"/>
          <w:sz w:val="21"/>
        </w:rPr>
        <w:t xml:space="preserve">: Blend with additional flavor distillates if desired, then bottle the clarified liqueur. Most producers chill and filter again before packaging for clarity and consistency.</w:t>
      </w:r>
      <w:bookmarkStart w:id="6" w:name="fnref1:4"/>
      <w:bookmarkEnd w:id="6"/>
      <w:hyperlink w:anchor="fn1">
        <w:r>
          <w:rPr>
            <w:rFonts w:eastAsia="inter" w:cs="inter" w:ascii="inter" w:hAnsi="inter"/>
            <w:color w:val="#000"/>
            <w:sz w:val="21"/>
            <w:u w:val="single"/>
            <w:vertAlign w:val="superscript"/>
          </w:rPr>
          <w:t xml:space="preserve">[1]</w:t>
        </w:r>
      </w:hyperlink>
    </w:p>
    <w:p>
      <w:pPr>
        <w:spacing w:line="360" w:before="315" w:after="105" w:lineRule="auto"/>
        <w:ind w:left="-30"/>
        <w:jc w:val="left"/>
      </w:pPr>
      <w:r>
        <w:rPr>
          <w:rFonts w:eastAsia="inter" w:cs="inter" w:ascii="inter" w:hAnsi="inter"/>
          <w:b/>
          <w:color w:val="000000"/>
          <w:sz w:val="24"/>
        </w:rPr>
        <w:t xml:space="preserve">Example Botanical Mix (historical recipes):</w:t>
      </w:r>
    </w:p>
    <w:p>
      <w:pPr>
        <w:numPr>
          <w:ilvl w:val="0"/>
          <w:numId w:val="2"/>
        </w:numPr>
        <w:spacing w:line="360" w:before="105" w:after="105" w:lineRule="auto"/>
      </w:pPr>
      <w:r>
        <w:rPr>
          <w:rFonts w:eastAsia="inter" w:cs="inter" w:ascii="inter" w:hAnsi="inter"/>
          <w:color w:val="000000"/>
          <w:sz w:val="21"/>
        </w:rPr>
        <w:t xml:space="preserve">Cinnamon varieties (Chinese, Ceylonese)</w:t>
      </w:r>
    </w:p>
    <w:p>
      <w:pPr>
        <w:numPr>
          <w:ilvl w:val="0"/>
          <w:numId w:val="2"/>
        </w:numPr>
        <w:spacing w:line="360" w:before="105" w:after="105" w:lineRule="auto"/>
      </w:pPr>
      <w:r>
        <w:rPr>
          <w:rFonts w:eastAsia="inter" w:cs="inter" w:ascii="inter" w:hAnsi="inter"/>
          <w:color w:val="000000"/>
          <w:sz w:val="21"/>
        </w:rPr>
        <w:t xml:space="preserve">Orange and lemon peels</w:t>
      </w:r>
    </w:p>
    <w:p>
      <w:pPr>
        <w:numPr>
          <w:ilvl w:val="0"/>
          <w:numId w:val="2"/>
        </w:numPr>
        <w:spacing w:line="360" w:before="105" w:after="105" w:lineRule="auto"/>
      </w:pPr>
      <w:r>
        <w:rPr>
          <w:rFonts w:eastAsia="inter" w:cs="inter" w:ascii="inter" w:hAnsi="inter"/>
          <w:color w:val="000000"/>
          <w:sz w:val="21"/>
        </w:rPr>
        <w:t xml:space="preserve">Cardamom (Amomum subulatum, Amomum cardamomum)</w:t>
      </w:r>
    </w:p>
    <w:p>
      <w:pPr>
        <w:numPr>
          <w:ilvl w:val="0"/>
          <w:numId w:val="2"/>
        </w:numPr>
        <w:spacing w:line="360" w:before="105" w:after="105" w:lineRule="auto"/>
      </w:pPr>
      <w:r>
        <w:rPr>
          <w:rFonts w:eastAsia="inter" w:cs="inter" w:ascii="inter" w:hAnsi="inter"/>
          <w:color w:val="000000"/>
          <w:sz w:val="21"/>
        </w:rPr>
        <w:t xml:space="preserve">Juniper, coriander, ambrette seeds</w:t>
      </w:r>
    </w:p>
    <w:p>
      <w:pPr>
        <w:numPr>
          <w:ilvl w:val="0"/>
          <w:numId w:val="2"/>
        </w:numPr>
        <w:spacing w:line="360" w:before="105" w:after="105" w:lineRule="auto"/>
      </w:pPr>
      <w:r>
        <w:rPr>
          <w:rFonts w:eastAsia="inter" w:cs="inter" w:ascii="inter" w:hAnsi="inter"/>
          <w:color w:val="000000"/>
          <w:sz w:val="21"/>
        </w:rPr>
        <w:t xml:space="preserve">Nutmeg, anise seeds, rosemary flowers, lavender, thyme, cloves.</w:t>
      </w:r>
      <w:bookmarkStart w:id="7" w:name="fnref1:5"/>
      <w:bookmarkEnd w:id="7"/>
      <w:hyperlink w:anchor="fn1">
        <w:r>
          <w:rPr>
            <w:rFonts w:eastAsia="inter" w:cs="inter" w:ascii="inter" w:hAnsi="inter"/>
            <w:color w:val="#000"/>
            <w:sz w:val="21"/>
            <w:u w:val="single"/>
            <w:vertAlign w:val="superscript"/>
          </w:rPr>
          <w:t xml:space="preserve">[1]</w:t>
        </w:r>
      </w:hyperlink>
    </w:p>
    <w:p>
      <w:pPr>
        <w:spacing w:line="360" w:before="315" w:after="105" w:lineRule="auto"/>
        <w:ind w:left="-30"/>
        <w:jc w:val="left"/>
      </w:pPr>
      <w:r>
        <w:rPr>
          <w:rFonts w:eastAsia="inter" w:cs="inter" w:ascii="inter" w:hAnsi="inter"/>
          <w:b/>
          <w:color w:val="000000"/>
          <w:sz w:val="24"/>
        </w:rPr>
        <w:t xml:space="preserve">Chemical Structure and Material Consistency</w:t>
      </w:r>
    </w:p>
    <w:p>
      <w:pPr>
        <w:numPr>
          <w:ilvl w:val="0"/>
          <w:numId w:val="3"/>
        </w:numPr>
        <w:spacing w:line="360" w:before="105" w:after="105" w:lineRule="auto"/>
      </w:pPr>
      <w:r>
        <w:rPr>
          <w:rFonts w:eastAsia="inter" w:cs="inter" w:ascii="inter" w:hAnsi="inter"/>
          <w:color w:val="000000"/>
          <w:sz w:val="21"/>
        </w:rPr>
        <w:t xml:space="preserve">The chief chemical component is </w:t>
      </w:r>
      <w:r>
        <w:rPr>
          <w:rFonts w:eastAsia="inter" w:cs="inter" w:ascii="inter" w:hAnsi="inter"/>
          <w:b/>
          <w:color w:val="000000"/>
          <w:sz w:val="21"/>
        </w:rPr>
        <w:t xml:space="preserve">ethanol</w:t>
      </w:r>
      <w:r>
        <w:rPr>
          <w:rFonts w:eastAsia="inter" w:cs="inter" w:ascii="inter" w:hAnsi="inter"/>
          <w:color w:val="000000"/>
          <w:sz w:val="21"/>
        </w:rPr>
        <w:t xml:space="preserve"> (ethyl alcohol, $ \mathrm{C_2H_5OH} $), from neutral grain spirit.</w:t>
      </w:r>
      <w:bookmarkStart w:id="8" w:name="fnref1:6"/>
      <w:bookmarkEnd w:id="8"/>
      <w:hyperlink w:anchor="fn1">
        <w:r>
          <w:rPr>
            <w:rFonts w:eastAsia="inter" w:cs="inter" w:ascii="inter" w:hAnsi="inter"/>
            <w:color w:val="#000"/>
            <w:sz w:val="21"/>
            <w:u w:val="single"/>
            <w:vertAlign w:val="superscript"/>
          </w:rPr>
          <w:t xml:space="preserve">[1]</w:t>
        </w:r>
      </w:hyperlink>
    </w:p>
    <w:p>
      <w:pPr>
        <w:numPr>
          <w:ilvl w:val="0"/>
          <w:numId w:val="3"/>
        </w:numPr>
        <w:spacing w:line="360" w:before="105" w:after="105" w:lineRule="auto"/>
      </w:pPr>
      <w:r>
        <w:rPr>
          <w:rFonts w:eastAsia="inter" w:cs="inter" w:ascii="inter" w:hAnsi="inter"/>
          <w:color w:val="000000"/>
          <w:sz w:val="21"/>
        </w:rPr>
        <w:t xml:space="preserve">Gold leaf is elemental </w:t>
      </w:r>
      <w:r>
        <w:rPr>
          <w:rFonts w:eastAsia="inter" w:cs="inter" w:ascii="inter" w:hAnsi="inter"/>
          <w:b/>
          <w:color w:val="000000"/>
          <w:sz w:val="21"/>
        </w:rPr>
        <w:t xml:space="preserve">gold</w:t>
      </w:r>
      <w:r>
        <w:rPr>
          <w:rFonts w:eastAsia="inter" w:cs="inter" w:ascii="inter" w:hAnsi="inter"/>
          <w:color w:val="000000"/>
          <w:sz w:val="21"/>
        </w:rPr>
        <w:t xml:space="preserve"> (Au), inert in alcohol and water.</w:t>
      </w:r>
      <w:bookmarkStart w:id="9" w:name="fnref4"/>
      <w:bookmarkEnd w:id="9"/>
      <w:hyperlink w:anchor="fn4">
        <w:r>
          <w:rPr>
            <w:rFonts w:eastAsia="inter" w:cs="inter" w:ascii="inter" w:hAnsi="inter"/>
            <w:color w:val="#000"/>
            <w:sz w:val="21"/>
            <w:u w:val="single"/>
            <w:vertAlign w:val="superscript"/>
          </w:rPr>
          <w:t xml:space="preserve">[4]</w:t>
        </w:r>
      </w:hyperlink>
    </w:p>
    <w:p>
      <w:pPr>
        <w:numPr>
          <w:ilvl w:val="0"/>
          <w:numId w:val="3"/>
        </w:numPr>
        <w:spacing w:line="360" w:before="105" w:after="105" w:lineRule="auto"/>
      </w:pPr>
      <w:r>
        <w:rPr>
          <w:rFonts w:eastAsia="inter" w:cs="inter" w:ascii="inter" w:hAnsi="inter"/>
          <w:color w:val="000000"/>
          <w:sz w:val="21"/>
        </w:rPr>
        <w:t xml:space="preserve">Botanicals contribute trace essential oils and aromatic compounds; these include terpenes, flavonoids, and phenolic compounds, whose detailed structures depend on each herb added.</w:t>
      </w:r>
      <w:bookmarkStart w:id="10" w:name="fnref1:7"/>
      <w:bookmarkEnd w:id="10"/>
      <w:hyperlink w:anchor="fn1">
        <w:r>
          <w:rPr>
            <w:rFonts w:eastAsia="inter" w:cs="inter" w:ascii="inter" w:hAnsi="inter"/>
            <w:color w:val="#000"/>
            <w:sz w:val="21"/>
            <w:u w:val="single"/>
            <w:vertAlign w:val="superscript"/>
          </w:rPr>
          <w:t xml:space="preserve">[1]</w:t>
        </w:r>
      </w:hyperlink>
    </w:p>
    <w:p>
      <w:pPr>
        <w:numPr>
          <w:ilvl w:val="0"/>
          <w:numId w:val="3"/>
        </w:numPr>
        <w:spacing w:line="360" w:before="105" w:after="105" w:lineRule="auto"/>
      </w:pPr>
      <w:r>
        <w:rPr>
          <w:rFonts w:eastAsia="inter" w:cs="inter" w:ascii="inter" w:hAnsi="inter"/>
          <w:color w:val="000000"/>
          <w:sz w:val="21"/>
        </w:rPr>
        <w:t xml:space="preserve">Sugar syrup is typically sucrose dissolved in water.</w:t>
      </w:r>
    </w:p>
    <w:p>
      <w:pPr>
        <w:spacing w:line="360" w:before="315" w:after="105" w:lineRule="auto"/>
        <w:ind w:left="-30"/>
        <w:jc w:val="left"/>
      </w:pPr>
      <w:r>
        <w:rPr>
          <w:rFonts w:eastAsia="inter" w:cs="inter" w:ascii="inter" w:hAnsi="inter"/>
          <w:b/>
          <w:color w:val="000000"/>
          <w:sz w:val="24"/>
        </w:rPr>
        <w:t xml:space="preserve">Edible Gold Flake</w:t>
      </w:r>
    </w:p>
    <w:p>
      <w:pPr>
        <w:numPr>
          <w:ilvl w:val="0"/>
          <w:numId w:val="4"/>
        </w:numPr>
        <w:spacing w:line="360" w:before="105" w:after="105" w:lineRule="auto"/>
      </w:pPr>
      <w:r>
        <w:rPr>
          <w:rFonts w:eastAsia="inter" w:cs="inter" w:ascii="inter" w:hAnsi="inter"/>
          <w:color w:val="000000"/>
          <w:sz w:val="21"/>
        </w:rPr>
        <w:t xml:space="preserve">Use 22–23 karat food-grade gold leaf. This form of gold is exceedingly stable and used only for visual effect—gold does not react with alcohol or sugar solution.</w:t>
      </w:r>
      <w:bookmarkStart w:id="11" w:name="fnref4:1"/>
      <w:bookmarkEnd w:id="11"/>
      <w:hyperlink w:anchor="fn4">
        <w:r>
          <w:rPr>
            <w:rFonts w:eastAsia="inter" w:cs="inter" w:ascii="inter" w:hAnsi="inter"/>
            <w:color w:val="#000"/>
            <w:sz w:val="21"/>
            <w:u w:val="single"/>
            <w:vertAlign w:val="superscript"/>
          </w:rPr>
          <w:t xml:space="preserve">[4]</w:t>
        </w:r>
      </w:hyperlink>
      <w:bookmarkStart w:id="12" w:name="fnref3:1"/>
      <w:bookmarkEnd w:id="12"/>
      <w:hyperlink w:anchor="fn3">
        <w:r>
          <w:rPr>
            <w:rFonts w:eastAsia="inter" w:cs="inter" w:ascii="inter" w:hAnsi="inter"/>
            <w:color w:val="#000"/>
            <w:sz w:val="21"/>
            <w:u w:val="single"/>
            <w:vertAlign w:val="superscript"/>
          </w:rPr>
          <w:t xml:space="preserve">[3]</w:t>
        </w:r>
      </w:hyperlink>
    </w:p>
    <w:p>
      <w:pPr>
        <w:spacing w:line="360" w:before="315" w:after="105" w:lineRule="auto"/>
        <w:ind w:left="-30"/>
        <w:jc w:val="left"/>
      </w:pPr>
      <w:r>
        <w:rPr>
          <w:rFonts w:eastAsia="inter" w:cs="inter" w:ascii="inter" w:hAnsi="inter"/>
          <w:b/>
          <w:color w:val="000000"/>
          <w:sz w:val="24"/>
        </w:rPr>
        <w:t xml:space="preserve">Source Recipe Example</w:t>
      </w:r>
    </w:p>
    <w:p>
      <w:pPr>
        <w:spacing w:line="360" w:after="210" w:lineRule="auto"/>
      </w:pPr>
      <w:r>
        <w:rPr>
          <w:rFonts w:eastAsia="inter" w:cs="inter" w:ascii="inter" w:hAnsi="inter"/>
          <w:color w:val="000000"/>
        </w:rPr>
        <w:t xml:space="preserve">A classic 24-hour maceration can be followed by blending with syrup and gold leaf after filtration:</w:t>
      </w:r>
    </w:p>
    <w:p>
      <w:pPr>
        <w:numPr>
          <w:ilvl w:val="0"/>
          <w:numId w:val="5"/>
        </w:numPr>
        <w:spacing w:line="360" w:before="105" w:after="105" w:lineRule="auto"/>
      </w:pPr>
      <w:r>
        <w:rPr>
          <w:rFonts w:eastAsia="inter" w:cs="inter" w:ascii="inter" w:hAnsi="inter"/>
          <w:color w:val="000000"/>
          <w:sz w:val="21"/>
        </w:rPr>
        <w:t xml:space="preserve">24-hour maceration: cinnamon, anise, juniper, nutmeg, orris root, rosemary, cardamom, clove, orange/lemon peel in spirit.</w:t>
      </w:r>
    </w:p>
    <w:p>
      <w:pPr>
        <w:numPr>
          <w:ilvl w:val="0"/>
          <w:numId w:val="5"/>
        </w:numPr>
        <w:spacing w:line="360" w:before="105" w:after="105" w:lineRule="auto"/>
      </w:pPr>
      <w:r>
        <w:rPr>
          <w:rFonts w:eastAsia="inter" w:cs="inter" w:ascii="inter" w:hAnsi="inter"/>
          <w:color w:val="000000"/>
          <w:sz w:val="21"/>
        </w:rPr>
        <w:t xml:space="preserve">Filter, sweeten with syrup, and add gold leaf.</w:t>
      </w:r>
      <w:bookmarkStart w:id="13" w:name="fnref1:8"/>
      <w:bookmarkEnd w:id="13"/>
      <w:hyperlink w:anchor="fn1">
        <w:r>
          <w:rPr>
            <w:rFonts w:eastAsia="inter" w:cs="inter" w:ascii="inter" w:hAnsi="inter"/>
            <w:color w:val="#000"/>
            <w:sz w:val="21"/>
            <w:u w:val="single"/>
            <w:vertAlign w:val="superscript"/>
          </w:rPr>
          <w:t xml:space="preserve">[1]</w:t>
        </w:r>
      </w:hyperlink>
    </w:p>
    <w:p>
      <w:pPr>
        <w:spacing w:line="360" w:before="315" w:after="105" w:lineRule="auto"/>
        <w:ind w:left="-30"/>
        <w:jc w:val="left"/>
      </w:pPr>
      <w:r>
        <w:rPr>
          <w:rFonts w:eastAsia="inter" w:cs="inter" w:ascii="inter" w:hAnsi="inter"/>
          <w:b/>
          <w:color w:val="000000"/>
          <w:sz w:val="24"/>
        </w:rPr>
        <w:t xml:space="preserve">Visual Reference</w:t>
      </w:r>
    </w:p>
    <w:p>
      <w:pPr>
        <w:spacing w:line="360" w:after="210" w:lineRule="auto"/>
      </w:pPr>
      <w:r>
        <w:rPr>
          <w:rFonts w:eastAsia="inter" w:cs="inter" w:ascii="inter" w:hAnsi="inter"/>
          <w:color w:val="000000"/>
        </w:rPr>
        <w:t xml:space="preserve">Here is a historical image of a bottle of Goldwasser liqueur.</w:t>
      </w:r>
    </w:p>
    <w:p>
      <w:pPr>
        <w:spacing w:line="360" w:after="0" w:lineRule="auto"/>
        <w:jc w:val="center"/>
      </w:pPr>
      <w:r>
        <w:rPr>
          <w:rFonts w:eastAsia="inter" w:cs="inter" w:ascii="inter" w:hAnsi="inter"/>
          <w:color w:val="000000"/>
        </w:rPr>
        <w:drawing>
          <wp:inline distB="0" distL="0" distR="0" distT="0">
            <wp:extent cx="6038850" cy="10566033"/>
            <wp:effectExtent b="0" l="0" r="0" t="0"/>
            <wp:docPr id="2" name="image-6cfa348ad5a52e28797fa98e8a64d5c17ab2d997.jpg"/>
            <a:graphic>
              <a:graphicData uri="http://schemas.openxmlformats.org/drawingml/2006/picture">
                <pic:pic>
                  <pic:nvPicPr>
                    <pic:cNvPr id="2" name="image-6cfa348ad5a52e28797fa98e8a64d5c17ab2d997.jpg" descr=""/>
                    <pic:cNvPicPr/>
                  </pic:nvPicPr>
                  <pic:blipFill>
                    <a:blip r:embed="rId6" cstate="print"/>
                    <a:srcRect b="0" l="0" r="0" t="0"/>
                    <a:stretch>
                      <a:fillRect/>
                    </a:stretch>
                  </pic:blipFill>
                  <pic:spPr>
                    <a:xfrm>
                      <a:off x="0" y="0"/>
                      <a:ext cx="6038850" cy="10566033"/>
                    </a:xfrm>
                    <a:prstGeom prst="rect"/>
                  </pic:spPr>
                </pic:pic>
              </a:graphicData>
            </a:graphic>
          </wp:inline>
        </w:drawing>
      </w:r>
    </w:p>
    <w:p>
      <w:pPr>
        <w:spacing w:line="360" w:after="210" w:lineRule="auto"/>
      </w:pPr>
      <w:r>
        <w:rPr>
          <w:rFonts w:eastAsia="inter" w:cs="inter" w:ascii="inter" w:hAnsi="inter"/>
          <w:color w:val="000000"/>
        </w:rPr>
        <w:t xml:space="preserve">Original Danziger Goldwasser Liqueur by Der Lachs Co. with gold flakes, 40% Alc. by Vol., established 1598.</w:t>
      </w:r>
    </w:p>
    <w:p>
      <w:pPr>
        <w:numPr>
          <w:ilvl w:val="0"/>
          <w:numId w:val="6"/>
        </w:numPr>
        <w:spacing w:line="360" w:before="105" w:after="105" w:lineRule="auto"/>
      </w:pPr>
      <w:r>
        <w:rPr>
          <w:rFonts w:eastAsia="inter" w:cs="inter" w:ascii="inter" w:hAnsi="inter"/>
          <w:color w:val="000000"/>
          <w:sz w:val="21"/>
        </w:rPr>
        <w:t xml:space="preserve">Production and botanical composition:</w:t>
      </w:r>
      <w:bookmarkStart w:id="14" w:name="fnref1:9"/>
      <w:bookmarkEnd w:id="14"/>
      <w:hyperlink w:anchor="fn1">
        <w:r>
          <w:rPr>
            <w:rFonts w:eastAsia="inter" w:cs="inter" w:ascii="inter" w:hAnsi="inter"/>
            <w:color w:val="#000"/>
            <w:sz w:val="21"/>
            <w:u w:val="single"/>
            <w:vertAlign w:val="superscript"/>
          </w:rPr>
          <w:t xml:space="preserve">[1]</w:t>
        </w:r>
      </w:hyperlink>
    </w:p>
    <w:p>
      <w:pPr>
        <w:numPr>
          <w:ilvl w:val="0"/>
          <w:numId w:val="6"/>
        </w:numPr>
        <w:spacing w:line="360" w:before="105" w:after="105" w:lineRule="auto"/>
      </w:pPr>
      <w:r>
        <w:rPr>
          <w:rFonts w:eastAsia="inter" w:cs="inter" w:ascii="inter" w:hAnsi="inter"/>
          <w:color w:val="000000"/>
          <w:sz w:val="21"/>
        </w:rPr>
        <w:t xml:space="preserve">Ingredient details and edible gold:</w:t>
      </w:r>
      <w:bookmarkStart w:id="15" w:name="fnref2:1"/>
      <w:bookmarkEnd w:id="15"/>
      <w:hyperlink w:anchor="fn2">
        <w:r>
          <w:rPr>
            <w:rFonts w:eastAsia="inter" w:cs="inter" w:ascii="inter" w:hAnsi="inter"/>
            <w:color w:val="#000"/>
            <w:sz w:val="21"/>
            <w:u w:val="single"/>
            <w:vertAlign w:val="superscript"/>
          </w:rPr>
          <w:t xml:space="preserve">[2]</w:t>
        </w:r>
      </w:hyperlink>
      <w:bookmarkStart w:id="16" w:name="fnref3:2"/>
      <w:bookmarkEnd w:id="16"/>
      <w:hyperlink w:anchor="fn3">
        <w:r>
          <w:rPr>
            <w:rFonts w:eastAsia="inter" w:cs="inter" w:ascii="inter" w:hAnsi="inter"/>
            <w:color w:val="#000"/>
            <w:sz w:val="21"/>
            <w:u w:val="single"/>
            <w:vertAlign w:val="superscript"/>
          </w:rPr>
          <w:t xml:space="preserve">[3]</w:t>
        </w:r>
      </w:hyperlink>
    </w:p>
    <w:p>
      <w:pPr>
        <w:numPr>
          <w:ilvl w:val="0"/>
          <w:numId w:val="6"/>
        </w:numPr>
        <w:spacing w:line="360" w:before="105" w:after="105" w:lineRule="auto"/>
      </w:pPr>
      <w:r>
        <w:rPr>
          <w:rFonts w:eastAsia="inter" w:cs="inter" w:ascii="inter" w:hAnsi="inter"/>
          <w:color w:val="000000"/>
          <w:sz w:val="21"/>
        </w:rPr>
        <w:t xml:space="preserve">Chemical structure and gold properties:</w:t>
      </w:r>
      <w:bookmarkStart w:id="17" w:name="fnref4:2"/>
      <w:bookmarkEnd w:id="17"/>
      <w:hyperlink w:anchor="fn4">
        <w:r>
          <w:rPr>
            <w:rFonts w:eastAsia="inter" w:cs="inter" w:ascii="inter" w:hAnsi="inter"/>
            <w:color w:val="#000"/>
            <w:sz w:val="21"/>
            <w:u w:val="single"/>
            <w:vertAlign w:val="superscript"/>
          </w:rPr>
          <w:t xml:space="preserve">[4]</w:t>
        </w:r>
      </w:hyperlink>
    </w:p>
    <w:p>
      <w:pPr>
        <w:spacing w:line="360" w:after="210" w:lineRule="auto"/>
      </w:pPr>
      <w:r>
        <w:rPr>
          <w:rFonts w:eastAsia="inter" w:cs="inter" w:ascii="inter" w:hAnsi="inter"/>
          <w:color w:val="000000"/>
        </w:rPr>
        <w:t xml:space="preserve">If deeper chemical analysis or modern distillation standards are needed, share the specific target volume and desired flavor profile—process parameters can be further detailed or lab-grade procedures included.</w:t>
      </w:r>
      <w:r>
        <w:rPr>
          <w:rFonts w:eastAsia="inter" w:cs="inter" w:ascii="inter" w:hAnsi="inter"/>
          <w:color w:val="000000"/>
        </w:rPr>
        <w:br w:type="textWrapping"/>
      </w:r>
    </w:p>
    <w:p>
      <w:pPr>
        <w:spacing w:line="360" w:lineRule="auto"/>
      </w:pPr>
      <w:r>
        <w:rPr>
          <w:rFonts w:eastAsia="inter" w:cs="inter" w:ascii="inter" w:hAnsi="inter"/>
          <w:color w:val="000000"/>
        </w:rPr>
        <w:t xml:space="preserve">⁂</w:t>
      </w:r>
    </w:p>
    <w:p>
      <w:pPr>
        <w:spacing w:line="360" w:before="210" w:after="0" w:lineRule="auto"/>
      </w:pPr>
      <w:r>
        <w:rPr>
          <w:noProof/>
        </w:rPr>
        <w:pict>
          <v:rect alt="" style="width:475.5pt;height:.05pt;mso-width-percent:0;mso-height-percent:0;mso-width-percent:0;mso-height-percent:0" o:hralign="center" o:hrstd="t" o:hr="f">
            <v:stroke filltype="solid" color="#000000" opacity="0" weight="1.0pt"/>
          </v:rect>
        </w:pict>
      </w:r>
    </w:p>
    <w:bookmarkStart w:id="18" w:name="fn1"/>
    <w:bookmarkEnd w:id="18"/>
    <w:p>
      <w:pPr>
        <w:numPr>
          <w:ilvl w:val="0"/>
          <w:numId w:val="8"/>
        </w:numPr>
        <w:spacing w:line="360" w:after="210" w:lineRule="auto"/>
      </w:pPr>
      <w:hyperlink r:id="rId7">
        <w:r>
          <w:rPr>
            <w:rFonts w:eastAsia="inter" w:cs="inter" w:ascii="inter" w:hAnsi="inter"/>
            <w:color w:val="#000"/>
            <w:sz w:val="18"/>
            <w:u w:val="single"/>
          </w:rPr>
          <w:t xml:space="preserve">http://thehistorians-jaredbrown.blogspot.com/2014/06/lost-ingredients-danzigwasser.html</w:t>
        </w:r>
      </w:hyperlink>
      <w:r>
        <w:rPr>
          <w:rFonts w:eastAsia="inter" w:cs="inter" w:ascii="inter" w:hAnsi="inter"/>
          <w:color w:val="000000"/>
          <w:sz w:val="18"/>
        </w:rPr>
        <w:t xml:space="preserve"> </w:t>
      </w:r>
      <w:r>
        <w:rPr>
          <w:rFonts w:eastAsia="inter" w:cs="inter" w:ascii="inter" w:hAnsi="inter"/>
          <w:color w:val="000000"/>
          <w:sz w:val="18"/>
        </w:rPr>
        <w:t xml:space="preserve"> </w:t>
      </w:r>
      <w:r>
        <w:rPr>
          <w:rFonts w:eastAsia="inter" w:cs="inter" w:ascii="inter" w:hAnsi="inter"/>
          <w:color w:val="000000"/>
          <w:sz w:val="18"/>
        </w:rPr>
        <w:t xml:space="preserve"> </w:t>
      </w:r>
      <w:r>
        <w:rPr>
          <w:rFonts w:eastAsia="inter" w:cs="inter" w:ascii="inter" w:hAnsi="inter"/>
          <w:color w:val="000000"/>
          <w:sz w:val="18"/>
        </w:rPr>
        <w:t xml:space="preserve"> </w:t>
      </w:r>
      <w:r>
        <w:rPr>
          <w:rFonts w:eastAsia="inter" w:cs="inter" w:ascii="inter" w:hAnsi="inter"/>
          <w:color w:val="000000"/>
          <w:sz w:val="18"/>
        </w:rPr>
        <w:t xml:space="preserve"> </w:t>
      </w:r>
      <w:r>
        <w:rPr>
          <w:rFonts w:eastAsia="inter" w:cs="inter" w:ascii="inter" w:hAnsi="inter"/>
          <w:color w:val="000000"/>
          <w:sz w:val="18"/>
        </w:rPr>
        <w:t xml:space="preserve"> </w:t>
      </w:r>
      <w:r>
        <w:rPr>
          <w:rFonts w:eastAsia="inter" w:cs="inter" w:ascii="inter" w:hAnsi="inter"/>
          <w:color w:val="000000"/>
          <w:sz w:val="18"/>
        </w:rPr>
        <w:t xml:space="preserve"> </w:t>
      </w:r>
      <w:r>
        <w:rPr>
          <w:rFonts w:eastAsia="inter" w:cs="inter" w:ascii="inter" w:hAnsi="inter"/>
          <w:color w:val="000000"/>
          <w:sz w:val="18"/>
        </w:rPr>
        <w:t xml:space="preserve"> </w:t>
      </w:r>
      <w:r>
        <w:rPr>
          <w:rFonts w:eastAsia="inter" w:cs="inter" w:ascii="inter" w:hAnsi="inter"/>
          <w:color w:val="000000"/>
          <w:sz w:val="18"/>
        </w:rPr>
        <w:t xml:space="preserve"> </w:t>
      </w:r>
      <w:r>
        <w:rPr>
          <w:rFonts w:eastAsia="inter" w:cs="inter" w:ascii="inter" w:hAnsi="inter"/>
          <w:color w:val="000000"/>
          <w:sz w:val="18"/>
        </w:rPr>
        <w:t xml:space="preserve"> </w:t>
      </w:r>
    </w:p>
    <w:bookmarkStart w:id="19" w:name="fn2"/>
    <w:bookmarkEnd w:id="19"/>
    <w:p>
      <w:pPr>
        <w:numPr>
          <w:ilvl w:val="0"/>
          <w:numId w:val="8"/>
        </w:numPr>
        <w:spacing w:line="360" w:after="210" w:lineRule="auto"/>
      </w:pPr>
      <w:hyperlink r:id="rId8">
        <w:r>
          <w:rPr>
            <w:rFonts w:eastAsia="inter" w:cs="inter" w:ascii="inter" w:hAnsi="inter"/>
            <w:color w:val="#000"/>
            <w:sz w:val="18"/>
            <w:u w:val="single"/>
          </w:rPr>
          <w:t xml:space="preserve">https://foodsubs.com/ingredients/goldwasser</w:t>
        </w:r>
      </w:hyperlink>
      <w:r>
        <w:rPr>
          <w:rFonts w:eastAsia="inter" w:cs="inter" w:ascii="inter" w:hAnsi="inter"/>
          <w:color w:val="000000"/>
          <w:sz w:val="18"/>
        </w:rPr>
        <w:t xml:space="preserve"> </w:t>
      </w:r>
      <w:r>
        <w:rPr>
          <w:rFonts w:eastAsia="inter" w:cs="inter" w:ascii="inter" w:hAnsi="inter"/>
          <w:color w:val="000000"/>
          <w:sz w:val="18"/>
        </w:rPr>
        <w:t xml:space="preserve"> </w:t>
      </w:r>
    </w:p>
    <w:bookmarkStart w:id="20" w:name="fn3"/>
    <w:bookmarkEnd w:id="20"/>
    <w:p>
      <w:pPr>
        <w:numPr>
          <w:ilvl w:val="0"/>
          <w:numId w:val="8"/>
        </w:numPr>
        <w:spacing w:line="360" w:after="210" w:lineRule="auto"/>
      </w:pPr>
      <w:hyperlink r:id="rId9">
        <w:r>
          <w:rPr>
            <w:rFonts w:eastAsia="inter" w:cs="inter" w:ascii="inter" w:hAnsi="inter"/>
            <w:color w:val="#000"/>
            <w:sz w:val="18"/>
            <w:u w:val="single"/>
          </w:rPr>
          <w:t xml:space="preserve">https://en.wikipedia.org/wiki/Goldwasser</w:t>
        </w:r>
      </w:hyperlink>
      <w:r>
        <w:rPr>
          <w:rFonts w:eastAsia="inter" w:cs="inter" w:ascii="inter" w:hAnsi="inter"/>
          <w:color w:val="000000"/>
          <w:sz w:val="18"/>
        </w:rPr>
        <w:t xml:space="preserve"> </w:t>
      </w:r>
      <w:r>
        <w:rPr>
          <w:rFonts w:eastAsia="inter" w:cs="inter" w:ascii="inter" w:hAnsi="inter"/>
          <w:color w:val="000000"/>
          <w:sz w:val="18"/>
        </w:rPr>
        <w:t xml:space="preserve"> </w:t>
      </w:r>
      <w:r>
        <w:rPr>
          <w:rFonts w:eastAsia="inter" w:cs="inter" w:ascii="inter" w:hAnsi="inter"/>
          <w:color w:val="000000"/>
          <w:sz w:val="18"/>
        </w:rPr>
        <w:t xml:space="preserve"> </w:t>
      </w:r>
    </w:p>
    <w:bookmarkStart w:id="21" w:name="fn4"/>
    <w:bookmarkEnd w:id="21"/>
    <w:p>
      <w:pPr>
        <w:numPr>
          <w:ilvl w:val="0"/>
          <w:numId w:val="8"/>
        </w:numPr>
        <w:spacing w:line="360" w:after="210" w:lineRule="auto"/>
      </w:pPr>
      <w:hyperlink r:id="rId10">
        <w:r>
          <w:rPr>
            <w:rFonts w:eastAsia="inter" w:cs="inter" w:ascii="inter" w:hAnsi="inter"/>
            <w:color w:val="#000"/>
            <w:sz w:val="18"/>
            <w:u w:val="single"/>
          </w:rPr>
          <w:t xml:space="preserve">https://en.wikipedia.org/wiki/Gold</w:t>
        </w:r>
      </w:hyperlink>
      <w:r>
        <w:rPr>
          <w:rFonts w:eastAsia="inter" w:cs="inter" w:ascii="inter" w:hAnsi="inter"/>
          <w:color w:val="000000"/>
          <w:sz w:val="18"/>
        </w:rPr>
        <w:t xml:space="preserve"> </w:t>
      </w:r>
      <w:r>
        <w:rPr>
          <w:rFonts w:eastAsia="inter" w:cs="inter" w:ascii="inter" w:hAnsi="inter"/>
          <w:color w:val="000000"/>
          <w:sz w:val="18"/>
        </w:rPr>
        <w:t xml:space="preserve"> </w:t>
      </w:r>
      <w:r>
        <w:rPr>
          <w:rFonts w:eastAsia="inter" w:cs="inter" w:ascii="inter" w:hAnsi="inter"/>
          <w:color w:val="000000"/>
          <w:sz w:val="18"/>
        </w:rPr>
        <w:t xml:space="preserve"> </w:t>
      </w:r>
    </w:p>
    <w:bookmarkStart w:id="22" w:name="fn5"/>
    <w:bookmarkEnd w:id="22"/>
    <w:p>
      <w:pPr>
        <w:numPr>
          <w:ilvl w:val="0"/>
          <w:numId w:val="8"/>
        </w:numPr>
        <w:spacing w:line="360" w:after="210" w:lineRule="auto"/>
      </w:pPr>
      <w:hyperlink r:id="rId11">
        <w:r>
          <w:rPr>
            <w:rFonts w:eastAsia="inter" w:cs="inter" w:ascii="inter" w:hAnsi="inter"/>
            <w:color w:val="#000"/>
            <w:sz w:val="18"/>
            <w:u w:val="single"/>
          </w:rPr>
          <w:t xml:space="preserve">https://www.sciencedirect.com/science/article/pii/S2405844024035643</w:t>
        </w:r>
      </w:hyperlink>
      <w:r>
        <w:rPr>
          <w:rFonts w:eastAsia="inter" w:cs="inter" w:ascii="inter" w:hAnsi="inter"/>
          <w:color w:val="000000"/>
          <w:sz w:val="18"/>
        </w:rPr>
        <w:t xml:space="preserve"> </w:t>
      </w:r>
    </w:p>
    <w:bookmarkStart w:id="23" w:name="fn6"/>
    <w:bookmarkEnd w:id="23"/>
    <w:p>
      <w:pPr>
        <w:numPr>
          <w:ilvl w:val="0"/>
          <w:numId w:val="8"/>
        </w:numPr>
        <w:spacing w:line="360" w:after="210" w:lineRule="auto"/>
      </w:pPr>
      <w:hyperlink r:id="rId12">
        <w:r>
          <w:rPr>
            <w:rFonts w:eastAsia="inter" w:cs="inter" w:ascii="inter" w:hAnsi="inter"/>
            <w:color w:val="#000"/>
            <w:sz w:val="18"/>
            <w:u w:val="single"/>
          </w:rPr>
          <w:t xml:space="preserve">https://www.911metallurgist.com/blog/gold-smelting-refining-process/</w:t>
        </w:r>
      </w:hyperlink>
      <w:r>
        <w:rPr>
          <w:rFonts w:eastAsia="inter" w:cs="inter" w:ascii="inter" w:hAnsi="inter"/>
          <w:color w:val="000000"/>
          <w:sz w:val="18"/>
        </w:rPr>
        <w:t xml:space="preserve"> </w:t>
      </w:r>
    </w:p>
    <w:bookmarkStart w:id="24" w:name="fn7"/>
    <w:bookmarkEnd w:id="24"/>
    <w:p>
      <w:pPr>
        <w:numPr>
          <w:ilvl w:val="0"/>
          <w:numId w:val="8"/>
        </w:numPr>
        <w:spacing w:line="360" w:after="210" w:lineRule="auto"/>
      </w:pPr>
      <w:hyperlink r:id="rId13">
        <w:r>
          <w:rPr>
            <w:rFonts w:eastAsia="inter" w:cs="inter" w:ascii="inter" w:hAnsi="inter"/>
            <w:color w:val="#000"/>
            <w:sz w:val="18"/>
            <w:u w:val="single"/>
          </w:rPr>
          <w:t xml:space="preserve">https://www.youtube.com/watch?v=bUZ-Q2mqF5w</w:t>
        </w:r>
      </w:hyperlink>
      <w:r>
        <w:rPr>
          <w:rFonts w:eastAsia="inter" w:cs="inter" w:ascii="inter" w:hAnsi="inter"/>
          <w:color w:val="000000"/>
          <w:sz w:val="18"/>
        </w:rPr>
        <w:t xml:space="preserve"> </w:t>
      </w:r>
    </w:p>
    <w:bookmarkStart w:id="25" w:name="fn8"/>
    <w:bookmarkEnd w:id="25"/>
    <w:p>
      <w:pPr>
        <w:numPr>
          <w:ilvl w:val="0"/>
          <w:numId w:val="8"/>
        </w:numPr>
        <w:spacing w:line="360" w:after="210" w:lineRule="auto"/>
      </w:pPr>
      <w:hyperlink r:id="rId14">
        <w:r>
          <w:rPr>
            <w:rFonts w:eastAsia="inter" w:cs="inter" w:ascii="inter" w:hAnsi="inter"/>
            <w:color w:val="#000"/>
            <w:sz w:val="18"/>
            <w:u w:val="single"/>
          </w:rPr>
          <w:t xml:space="preserve">https://pmc.ncbi.nlm.nih.gov/articles/PMC6643217/</w:t>
        </w:r>
      </w:hyperlink>
      <w:r>
        <w:rPr>
          <w:rFonts w:eastAsia="inter" w:cs="inter" w:ascii="inter" w:hAnsi="inter"/>
          <w:color w:val="000000"/>
          <w:sz w:val="18"/>
        </w:rPr>
        <w:t xml:space="preserve"> </w:t>
      </w:r>
    </w:p>
    <w:bookmarkStart w:id="26" w:name="fn9"/>
    <w:bookmarkEnd w:id="26"/>
    <w:p>
      <w:pPr>
        <w:numPr>
          <w:ilvl w:val="0"/>
          <w:numId w:val="8"/>
        </w:numPr>
        <w:spacing w:line="360" w:after="210" w:lineRule="auto"/>
      </w:pPr>
      <w:hyperlink r:id="rId15">
        <w:r>
          <w:rPr>
            <w:rFonts w:eastAsia="inter" w:cs="inter" w:ascii="inter" w:hAnsi="inter"/>
            <w:color w:val="#000"/>
            <w:sz w:val="18"/>
            <w:u w:val="single"/>
          </w:rPr>
          <w:t xml:space="preserve">https://www.britannica.com/technology/gold-processing/Refining</w:t>
        </w:r>
      </w:hyperlink>
      <w:r>
        <w:rPr>
          <w:rFonts w:eastAsia="inter" w:cs="inter" w:ascii="inter" w:hAnsi="inter"/>
          <w:color w:val="000000"/>
          <w:sz w:val="18"/>
        </w:rPr>
        <w:t xml:space="preserve"> </w:t>
      </w:r>
    </w:p>
    <w:bookmarkStart w:id="27" w:name="fn10"/>
    <w:bookmarkEnd w:id="27"/>
    <w:p>
      <w:pPr>
        <w:numPr>
          <w:ilvl w:val="0"/>
          <w:numId w:val="8"/>
        </w:numPr>
        <w:spacing w:line="360" w:after="210" w:lineRule="auto"/>
      </w:pPr>
      <w:hyperlink r:id="rId16">
        <w:r>
          <w:rPr>
            <w:rFonts w:eastAsia="inter" w:cs="inter" w:ascii="inter" w:hAnsi="inter"/>
            <w:color w:val="#000"/>
            <w:sz w:val="18"/>
            <w:u w:val="single"/>
          </w:rPr>
          <w:t xml:space="preserve">https://en.wikipedia.org/wiki/Vodka</w:t>
        </w:r>
      </w:hyperlink>
      <w:r>
        <w:rPr>
          <w:rFonts w:eastAsia="inter" w:cs="inter" w:ascii="inter" w:hAnsi="inter"/>
          <w:color w:val="000000"/>
          <w:sz w:val="18"/>
        </w:rPr>
        <w:t xml:space="preserve"> </w:t>
      </w:r>
    </w:p>
    <w:bookmarkStart w:id="28" w:name="fn11"/>
    <w:bookmarkEnd w:id="28"/>
    <w:p>
      <w:pPr>
        <w:numPr>
          <w:ilvl w:val="0"/>
          <w:numId w:val="8"/>
        </w:numPr>
        <w:spacing w:line="360" w:after="210" w:lineRule="auto"/>
      </w:pPr>
      <w:hyperlink r:id="rId17">
        <w:r>
          <w:rPr>
            <w:rFonts w:eastAsia="inter" w:cs="inter" w:ascii="inter" w:hAnsi="inter"/>
            <w:color w:val="#000"/>
            <w:sz w:val="18"/>
            <w:u w:val="single"/>
          </w:rPr>
          <w:t xml:space="preserve">https://patents.google.com/patent/DE1149912B/en</w:t>
        </w:r>
      </w:hyperlink>
      <w:r>
        <w:rPr>
          <w:rFonts w:eastAsia="inter" w:cs="inter" w:ascii="inter" w:hAnsi="inter"/>
          <w:color w:val="000000"/>
          <w:sz w:val="18"/>
        </w:rPr>
        <w:t xml:space="preserve"> </w:t>
      </w:r>
    </w:p>
    <w:bookmarkStart w:id="29" w:name="fn12"/>
    <w:bookmarkEnd w:id="29"/>
    <w:p>
      <w:pPr>
        <w:numPr>
          <w:ilvl w:val="0"/>
          <w:numId w:val="8"/>
        </w:numPr>
        <w:spacing w:line="360" w:after="210" w:lineRule="auto"/>
      </w:pPr>
      <w:hyperlink r:id="rId18">
        <w:r>
          <w:rPr>
            <w:rFonts w:eastAsia="inter" w:cs="inter" w:ascii="inter" w:hAnsi="inter"/>
            <w:color w:val="#000"/>
            <w:sz w:val="18"/>
            <w:u w:val="single"/>
          </w:rPr>
          <w:t xml:space="preserve">https://www.sciencedirect.com/science/article/pii/S0753332223007801</w:t>
        </w:r>
      </w:hyperlink>
      <w:r>
        <w:rPr>
          <w:rFonts w:eastAsia="inter" w:cs="inter" w:ascii="inter" w:hAnsi="inter"/>
          <w:color w:val="000000"/>
          <w:sz w:val="18"/>
        </w:rPr>
        <w:t xml:space="preserve"> </w:t>
      </w:r>
    </w:p>
    <w:bookmarkStart w:id="30" w:name="fn13"/>
    <w:bookmarkEnd w:id="30"/>
    <w:p>
      <w:pPr>
        <w:numPr>
          <w:ilvl w:val="0"/>
          <w:numId w:val="8"/>
        </w:numPr>
        <w:spacing w:line="360" w:after="210" w:lineRule="auto"/>
      </w:pPr>
      <w:hyperlink r:id="rId19">
        <w:r>
          <w:rPr>
            <w:rFonts w:eastAsia="inter" w:cs="inter" w:ascii="inter" w:hAnsi="inter"/>
            <w:color w:val="#000"/>
            <w:sz w:val="18"/>
            <w:u w:val="single"/>
          </w:rPr>
          <w:t xml:space="preserve">https://propaganda24h.pl/en_US/p/ORIGINAL-DANZIGER-GOLDWASSER-LIKIER-0,5L/1015</w:t>
        </w:r>
      </w:hyperlink>
      <w:r>
        <w:rPr>
          <w:rFonts w:eastAsia="inter" w:cs="inter" w:ascii="inter" w:hAnsi="inter"/>
          <w:color w:val="000000"/>
          <w:sz w:val="18"/>
        </w:rPr>
        <w:t xml:space="preserve"> </w:t>
      </w:r>
    </w:p>
    <w:bookmarkStart w:id="31" w:name="fn14"/>
    <w:bookmarkEnd w:id="31"/>
    <w:p>
      <w:pPr>
        <w:numPr>
          <w:ilvl w:val="0"/>
          <w:numId w:val="8"/>
        </w:numPr>
        <w:spacing w:line="360" w:after="210" w:lineRule="auto"/>
      </w:pPr>
      <w:hyperlink r:id="rId20">
        <w:r>
          <w:rPr>
            <w:rFonts w:eastAsia="inter" w:cs="inter" w:ascii="inter" w:hAnsi="inter"/>
            <w:color w:val="#000"/>
            <w:sz w:val="18"/>
            <w:u w:val="single"/>
          </w:rPr>
          <w:t xml:space="preserve">https://dockchemicals.com/solutions/product-finder/</w:t>
        </w:r>
      </w:hyperlink>
      <w:r>
        <w:rPr>
          <w:rFonts w:eastAsia="inter" w:cs="inter" w:ascii="inter" w:hAnsi="inter"/>
          <w:color w:val="000000"/>
          <w:sz w:val="18"/>
        </w:rPr>
        <w:t xml:space="preserve"> </w:t>
      </w:r>
    </w:p>
    <w:bookmarkStart w:id="32" w:name="fn15"/>
    <w:bookmarkEnd w:id="32"/>
    <w:p>
      <w:pPr>
        <w:numPr>
          <w:ilvl w:val="0"/>
          <w:numId w:val="8"/>
        </w:numPr>
        <w:spacing w:line="360" w:after="210" w:lineRule="auto"/>
      </w:pPr>
      <w:hyperlink r:id="rId21">
        <w:r>
          <w:rPr>
            <w:rFonts w:eastAsia="inter" w:cs="inter" w:ascii="inter" w:hAnsi="inter"/>
            <w:color w:val="#000"/>
            <w:sz w:val="18"/>
            <w:u w:val="single"/>
          </w:rPr>
          <w:t xml:space="preserve">https://www.youtube.com/watch?v=xsjnZml1TjQ</w:t>
        </w:r>
      </w:hyperlink>
      <w:r>
        <w:rPr>
          <w:rFonts w:eastAsia="inter" w:cs="inter" w:ascii="inter" w:hAnsi="inter"/>
          <w:color w:val="000000"/>
          <w:sz w:val="18"/>
        </w:rPr>
        <w:t xml:space="preserve"> </w:t>
      </w:r>
    </w:p>
    <w:bookmarkStart w:id="33" w:name="fn16"/>
    <w:bookmarkEnd w:id="33"/>
    <w:p>
      <w:pPr>
        <w:numPr>
          <w:ilvl w:val="0"/>
          <w:numId w:val="8"/>
        </w:numPr>
        <w:spacing w:line="360" w:after="210" w:lineRule="auto"/>
      </w:pPr>
      <w:hyperlink r:id="rId22">
        <w:r>
          <w:rPr>
            <w:rFonts w:eastAsia="inter" w:cs="inter" w:ascii="inter" w:hAnsi="inter"/>
            <w:color w:val="#000"/>
            <w:sz w:val="18"/>
            <w:u w:val="single"/>
          </w:rPr>
          <w:t xml:space="preserve">https://www.911metallurgist.com/blog/gold-extraction-recovery-processes/</w:t>
        </w:r>
      </w:hyperlink>
      <w:r>
        <w:rPr>
          <w:rFonts w:eastAsia="inter" w:cs="inter" w:ascii="inter" w:hAnsi="inter"/>
          <w:color w:val="000000"/>
          <w:sz w:val="18"/>
        </w:rPr>
        <w:t xml:space="preserve"> </w:t>
      </w:r>
    </w:p>
    <w:bookmarkStart w:id="34" w:name="fn17"/>
    <w:bookmarkEnd w:id="34"/>
    <w:p>
      <w:pPr>
        <w:numPr>
          <w:ilvl w:val="0"/>
          <w:numId w:val="8"/>
        </w:numPr>
        <w:spacing w:line="360" w:after="210" w:lineRule="auto"/>
      </w:pPr>
      <w:hyperlink r:id="rId23">
        <w:r>
          <w:rPr>
            <w:rFonts w:eastAsia="inter" w:cs="inter" w:ascii="inter" w:hAnsi="inter"/>
            <w:color w:val="#000"/>
            <w:sz w:val="18"/>
            <w:u w:val="single"/>
          </w:rPr>
          <w:t xml:space="preserve">https://www.eastcarb.com/gold-manufacturing-process/</w:t>
        </w:r>
      </w:hyperlink>
      <w:r>
        <w:rPr>
          <w:rFonts w:eastAsia="inter" w:cs="inter" w:ascii="inter" w:hAnsi="inter"/>
          <w:color w:val="000000"/>
          <w:sz w:val="18"/>
        </w:rPr>
        <w:t xml:space="preserve"> </w:t>
      </w:r>
    </w:p>
    <w:bookmarkStart w:id="35" w:name="fn18"/>
    <w:bookmarkEnd w:id="35"/>
    <w:p>
      <w:pPr>
        <w:numPr>
          <w:ilvl w:val="0"/>
          <w:numId w:val="8"/>
        </w:numPr>
        <w:spacing w:line="360" w:after="210" w:lineRule="auto"/>
      </w:pPr>
      <w:hyperlink r:id="rId24">
        <w:r>
          <w:rPr>
            <w:rFonts w:eastAsia="inter" w:cs="inter" w:ascii="inter" w:hAnsi="inter"/>
            <w:color w:val="#000"/>
            <w:sz w:val="18"/>
            <w:u w:val="single"/>
          </w:rPr>
          <w:t xml:space="preserve">https://en.wikipedia.org/wiki/Wohlwill_process</w:t>
        </w:r>
      </w:hyperlink>
      <w:r>
        <w:rPr>
          <w:rFonts w:eastAsia="inter" w:cs="inter" w:ascii="inter" w:hAnsi="inter"/>
          <w:color w:val="000000"/>
          <w:sz w:val="18"/>
        </w:rPr>
        <w:t xml:space="preserve"> </w:t>
      </w:r>
    </w:p>
    <w:bookmarkStart w:id="36" w:name="fn19"/>
    <w:bookmarkEnd w:id="36"/>
    <w:p>
      <w:pPr>
        <w:numPr>
          <w:ilvl w:val="0"/>
          <w:numId w:val="8"/>
        </w:numPr>
        <w:spacing w:line="360" w:after="210" w:lineRule="auto"/>
      </w:pPr>
      <w:hyperlink r:id="rId25">
        <w:r>
          <w:rPr>
            <w:rFonts w:eastAsia="inter" w:cs="inter" w:ascii="inter" w:hAnsi="inter"/>
            <w:color w:val="#000"/>
            <w:sz w:val="18"/>
            <w:u w:val="single"/>
          </w:rPr>
          <w:t xml:space="preserve">https://pmc.ncbi.nlm.nih.gov/articles/PMC3497048/</w:t>
        </w:r>
      </w:hyperlink>
      <w:r>
        <w:rPr>
          <w:rFonts w:eastAsia="inter" w:cs="inter" w:ascii="inter" w:hAnsi="inter"/>
          <w:color w:val="000000"/>
          <w:sz w:val="18"/>
        </w:rPr>
        <w:t xml:space="preserve"> </w:t>
      </w:r>
    </w:p>
    <w:bookmarkStart w:id="37" w:name="fn20"/>
    <w:bookmarkEnd w:id="37"/>
    <w:p>
      <w:pPr>
        <w:numPr>
          <w:ilvl w:val="0"/>
          <w:numId w:val="8"/>
        </w:numPr>
        <w:spacing w:line="360" w:after="210" w:lineRule="auto"/>
      </w:pPr>
      <w:hyperlink r:id="rId26">
        <w:r>
          <w:rPr>
            <w:rFonts w:eastAsia="inter" w:cs="inter" w:ascii="inter" w:hAnsi="inter"/>
            <w:color w:val="#000"/>
            <w:sz w:val="18"/>
            <w:u w:val="single"/>
          </w:rPr>
          <w:t xml:space="preserve">http://adultbar.com.au/cocktails/How-To-Make-A/Goldwasser</w:t>
        </w:r>
      </w:hyperlink>
      <w:r>
        <w:rPr>
          <w:rFonts w:eastAsia="inter" w:cs="inter" w:ascii="inter" w:hAnsi="inter"/>
          <w:color w:val="000000"/>
          <w:sz w:val="18"/>
        </w:rPr>
        <w:t xml:space="preserve"> </w:t>
      </w:r>
    </w:p>
    <w:bookmarkStart w:id="38" w:name="fn21"/>
    <w:bookmarkEnd w:id="38"/>
    <w:p>
      <w:pPr>
        <w:numPr>
          <w:ilvl w:val="0"/>
          <w:numId w:val="8"/>
        </w:numPr>
        <w:spacing w:line="360" w:after="210" w:lineRule="auto"/>
      </w:pPr>
      <w:hyperlink r:id="rId27">
        <w:r>
          <w:rPr>
            <w:rFonts w:eastAsia="inter" w:cs="inter" w:ascii="inter" w:hAnsi="inter"/>
            <w:color w:val="#000"/>
            <w:sz w:val="18"/>
            <w:u w:val="single"/>
          </w:rPr>
          <w:t xml:space="preserve">https://www.cdocast.com/induction_blog/the-complete-manufacturing-process-of-1mm-gold-and-silver-wire-from-casting-to-precision-drawing/</w:t>
        </w:r>
      </w:hyperlink>
      <w:r>
        <w:rPr>
          <w:rFonts w:eastAsia="inter" w:cs="inter" w:ascii="inter" w:hAnsi="inter"/>
          <w:color w:val="000000"/>
          <w:sz w:val="18"/>
        </w:rPr>
        <w:t xml:space="preserve"> </w:t>
      </w:r>
    </w:p>
    <w:sectPr>
      <w:pgSz w:w="12240" w:h="15840" w:orient="portrait"/>
      <w:pgMar w:top="1365" w:right="1365" w:bottom="1365" w:left="1365" w:header="720" w:footer="720" w:gutter="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inter">
    <w:family w:val="auto"/>
    <w:pitch w:val="variable"/>
  </w:font>
</w:fonts>
</file>

<file path=word/numbering.xml><?xml version="1.0" encoding="utf-8"?>
<w:numbering xmlns:w="http://schemas.openxmlformats.org/wordprocessingml/2006/main" xmlns:ve="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ne="http://schemas.microsoft.com/office/word/2006/wordml">
  <w:abstractNum w:abstractNumId="1">
    <w:multiLevelType w:val="hybridMultilevel"/>
    <w:lvl w:ilvl="0">
      <w:start w:val="1"/>
      <w:numFmt w:val="bullet"/>
      <w:lvlText w:val=""/>
      <w:lvlJc w:val="left"/>
      <w:pPr>
        <w:tabs>
          <w:tab w:val="num" w:pos="900"/>
        </w:tabs>
        <w:ind w:left="540" w:hanging="360"/>
      </w:pPr>
      <w:rPr>
        <w:rFonts w:ascii="Symbol" w:hAnsi="Symbol" w:hint="default"/>
      </w:rPr>
    </w:lvl>
  </w:abstractNum>
  <w:abstractNum w:abstractNumId="2">
    <w:multiLevelType w:val="hybridMultilevel"/>
    <w:lvl w:ilvl="0">
      <w:start w:val="1"/>
      <w:numFmt w:val="bullet"/>
      <w:lvlText w:val=""/>
      <w:lvlJc w:val="left"/>
      <w:pPr>
        <w:tabs>
          <w:tab w:val="num" w:pos="900"/>
        </w:tabs>
        <w:ind w:left="540" w:hanging="360"/>
      </w:pPr>
      <w:rPr>
        <w:rFonts w:ascii="Symbol" w:hAnsi="Symbol" w:hint="default"/>
      </w:rPr>
    </w:lvl>
  </w:abstractNum>
  <w:abstractNum w:abstractNumId="3">
    <w:multiLevelType w:val="hybridMultilevel"/>
    <w:lvl w:ilvl="0">
      <w:start w:val="1"/>
      <w:numFmt w:val="bullet"/>
      <w:lvlText w:val=""/>
      <w:lvlJc w:val="left"/>
      <w:pPr>
        <w:tabs>
          <w:tab w:val="num" w:pos="900"/>
        </w:tabs>
        <w:ind w:left="540" w:hanging="360"/>
      </w:pPr>
      <w:rPr>
        <w:rFonts w:ascii="Symbol" w:hAnsi="Symbol" w:hint="default"/>
      </w:rPr>
    </w:lvl>
  </w:abstractNum>
  <w:abstractNum w:abstractNumId="4">
    <w:multiLevelType w:val="hybridMultilevel"/>
    <w:lvl w:ilvl="0">
      <w:start w:val="1"/>
      <w:numFmt w:val="bullet"/>
      <w:lvlText w:val=""/>
      <w:lvlJc w:val="left"/>
      <w:pPr>
        <w:tabs>
          <w:tab w:val="num" w:pos="900"/>
        </w:tabs>
        <w:ind w:left="540" w:hanging="360"/>
      </w:pPr>
      <w:rPr>
        <w:rFonts w:ascii="Symbol" w:hAnsi="Symbol" w:hint="default"/>
      </w:rPr>
    </w:lvl>
  </w:abstractNum>
  <w:abstractNum w:abstractNumId="5">
    <w:multiLevelType w:val="hybridMultilevel"/>
    <w:lvl w:ilvl="0">
      <w:start w:val="1"/>
      <w:numFmt w:val="bullet"/>
      <w:lvlText w:val=""/>
      <w:lvlJc w:val="left"/>
      <w:pPr>
        <w:tabs>
          <w:tab w:val="num" w:pos="900"/>
        </w:tabs>
        <w:ind w:left="540" w:hanging="360"/>
      </w:pPr>
      <w:rPr>
        <w:rFonts w:ascii="Symbol" w:hAnsi="Symbol" w:hint="default"/>
      </w:rPr>
    </w:lvl>
  </w:abstractNum>
  <w:abstractNum w:abstractNumId="6">
    <w:multiLevelType w:val="hybridMultilevel"/>
    <w:lvl w:ilvl="0">
      <w:start w:val="1"/>
      <w:numFmt w:val="bullet"/>
      <w:lvlText w:val=""/>
      <w:lvlJc w:val="left"/>
      <w:pPr>
        <w:tabs>
          <w:tab w:val="num" w:pos="900"/>
        </w:tabs>
        <w:ind w:left="540" w:hanging="360"/>
      </w:pPr>
      <w:rPr>
        <w:rFonts w:ascii="Symbol" w:hAnsi="Symbol" w:hint="default"/>
      </w:rPr>
    </w:lvl>
  </w:abstractNum>
  <w:abstractNum w:abstractNumId="7">
    <w:multiLevelType w:val="hybridMultilevel"/>
  </w:abstractNum>
  <w:abstractNum w:abstractNumId="8">
    <w:multiLevelType w:val="hybridMultilevel"/>
    <w:lvl w:ilvl="0">
      <w:start w:val="1"/>
      <w:numFmt w:val="decimal"/>
      <w:lvlText w:val="%1."/>
      <w:lvlJc w:val="left"/>
      <w:pPr>
        <w:tabs>
          <w:tab w:val="num" w:pos="900"/>
        </w:tabs>
        <w:ind w:left="54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xmlns:o="urn:schemas-microsoft-com:office:office" xmlns:r="http://schemas.openxmlformats.org/officeDocument/2006/relationships" xmlns:m="http://schemas.openxmlformats.org/officeDocument/2006/math" xmlns:v="urn:schemas-microsoft-com:vml" xmlns:w10="urn:schemas-microsoft-com:office:word" xmlns:sl="http://schemas.openxmlformats.org/schemaLibrary/2006/main">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decimalSymbol w:val="."/>
  <w:listSeparator w:val=","/>
</w:settings>
</file>

<file path=word/styles.xml><?xml version="1.0" encoding="utf-8"?>
<w:styles xmlns:w="http://schemas.openxmlformats.org/wordprocessingml/2006/main" xmlns:r="http://schemas.openxmlformats.org/officeDocument/2006/relationships">
  <w:docDefaults>
    <w:rPrDefault>
      <w:rPr>
        <w:rFonts w:ascii="Georgia" w:eastAsiaTheme="minorHAnsi" w:hAnsiTheme="minorHAnsi" w:cstheme="minorBidi"/>
        <w:sz w:val="21"/>
        <w:szCs w:val="22"/>
        <w:lang w:val="en-US" w:eastAsia="en-US" w:bidi="ar-SA"/>
      </w:rPr>
    </w:rPrDefault>
    <w:pPrDefault>
      <w:pPr>
        <w:spacing w:after="120" w:line="240" w:lineRule="atLeast"/>
      </w:pPr>
    </w:pPrDefault>
  </w:docDefaults>
  <w:style w:type="paragraph" w:default="1" w:styleId="Normal">
    <w:name w:val="Normal"/>
    <w:next w:val="Normal"/>
    <w:pPr/>
    <w:rPr>
      <w:rFonts w:ascii="Georgia" w:eastAsiaTheme="minorHAnsi" w:hAnsiTheme="minorHAnsi" w:cstheme="minorBidi"/>
      <w:sz w:val="21"/>
      <w:szCs w:val="22"/>
      <w:lang w:val="en-US" w:eastAsia="en-US" w:bidi="ar-SA"/>
    </w:rPr>
  </w:style>
  <w:style w:type="character" w:customStyle="1" w:styleId="VerbatimChar">
    <w:name w:val="Verbatim Char"/>
    <w:basedOn w:val="BodyTextChar"/>
    <w:rPr>
      <w:rFonts w:ascii="Consolas" w:hAnsi="Consolas"/>
      <w:sz w:val="22"/>
    </w:rPr>
  </w:style>
</w:styles>
</file>

<file path=word/webSettings.xml><?xml version="1.0" encoding="utf-8"?>
<w:webSettings xmlns:w="http://schemas.openxmlformats.org/wordprocessingml/2006/main" xmlns:r="http://schemas.openxmlformats.org/officeDocument/2006/relationships"/>
</file>

<file path=word/_rels/document.xml.rels><?xml version="1.0" encoding="UTF-8" standalone="yes"?><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28cf29c858610a4ff0c45954f0d5cde2ed3595eb.png" TargetMode="Internal"/><Relationship Id="rId6" Type="http://schemas.openxmlformats.org/officeDocument/2006/relationships/image" Target="media/image-6cfa348ad5a52e28797fa98e8a64d5c17ab2d997.jpg" TargetMode="Internal"/><Relationship Id="rId7" Type="http://schemas.openxmlformats.org/officeDocument/2006/relationships/hyperlink" Target="http://thehistorians-jaredbrown.blogspot.com/2014/06/lost-ingredients-danzigwasser.html" TargetMode="External"/><Relationship Id="rId8" Type="http://schemas.openxmlformats.org/officeDocument/2006/relationships/hyperlink" Target="https://foodsubs.com/ingredients/goldwasser" TargetMode="External"/><Relationship Id="rId9" Type="http://schemas.openxmlformats.org/officeDocument/2006/relationships/hyperlink" Target="https://en.wikipedia.org/wiki/Goldwasser" TargetMode="External"/><Relationship Id="rId10" Type="http://schemas.openxmlformats.org/officeDocument/2006/relationships/hyperlink" Target="https://en.wikipedia.org/wiki/Gold" TargetMode="External"/><Relationship Id="rId11" Type="http://schemas.openxmlformats.org/officeDocument/2006/relationships/hyperlink" Target="https://www.sciencedirect.com/science/article/pii/S2405844024035643" TargetMode="External"/><Relationship Id="rId12" Type="http://schemas.openxmlformats.org/officeDocument/2006/relationships/hyperlink" Target="https://www.911metallurgist.com/blog/gold-smelting-refining-process/" TargetMode="External"/><Relationship Id="rId13" Type="http://schemas.openxmlformats.org/officeDocument/2006/relationships/hyperlink" Target="https://www.youtube.com/watch?v=bUZ-Q2mqF5w" TargetMode="External"/><Relationship Id="rId14" Type="http://schemas.openxmlformats.org/officeDocument/2006/relationships/hyperlink" Target="https://pmc.ncbi.nlm.nih.gov/articles/PMC6643217/" TargetMode="External"/><Relationship Id="rId15" Type="http://schemas.openxmlformats.org/officeDocument/2006/relationships/hyperlink" Target="https://www.britannica.com/technology/gold-processing/Refining" TargetMode="External"/><Relationship Id="rId16" Type="http://schemas.openxmlformats.org/officeDocument/2006/relationships/hyperlink" Target="https://en.wikipedia.org/wiki/Vodka" TargetMode="External"/><Relationship Id="rId17" Type="http://schemas.openxmlformats.org/officeDocument/2006/relationships/hyperlink" Target="https://patents.google.com/patent/DE1149912B/en" TargetMode="External"/><Relationship Id="rId18" Type="http://schemas.openxmlformats.org/officeDocument/2006/relationships/hyperlink" Target="https://www.sciencedirect.com/science/article/pii/S0753332223007801" TargetMode="External"/><Relationship Id="rId19" Type="http://schemas.openxmlformats.org/officeDocument/2006/relationships/hyperlink" Target="https://propaganda24h.pl/en_US/p/ORIGINAL-DANZIGER-GOLDWASSER-LIKIER-0,5L/1015" TargetMode="External"/><Relationship Id="rId20" Type="http://schemas.openxmlformats.org/officeDocument/2006/relationships/hyperlink" Target="https://dockchemicals.com/solutions/product-finder/" TargetMode="External"/><Relationship Id="rId21" Type="http://schemas.openxmlformats.org/officeDocument/2006/relationships/hyperlink" Target="https://www.youtube.com/watch?v=xsjnZml1TjQ" TargetMode="External"/><Relationship Id="rId22" Type="http://schemas.openxmlformats.org/officeDocument/2006/relationships/hyperlink" Target="https://www.911metallurgist.com/blog/gold-extraction-recovery-processes/" TargetMode="External"/><Relationship Id="rId23" Type="http://schemas.openxmlformats.org/officeDocument/2006/relationships/hyperlink" Target="https://www.eastcarb.com/gold-manufacturing-process/" TargetMode="External"/><Relationship Id="rId24" Type="http://schemas.openxmlformats.org/officeDocument/2006/relationships/hyperlink" Target="https://en.wikipedia.org/wiki/Wohlwill_process" TargetMode="External"/><Relationship Id="rId25" Type="http://schemas.openxmlformats.org/officeDocument/2006/relationships/hyperlink" Target="https://pmc.ncbi.nlm.nih.gov/articles/PMC3497048/" TargetMode="External"/><Relationship Id="rId26" Type="http://schemas.openxmlformats.org/officeDocument/2006/relationships/hyperlink" Target="http://adultbar.com.au/cocktails/How-To-Make-A/Goldwasser" TargetMode="External"/><Relationship Id="rId27" Type="http://schemas.openxmlformats.org/officeDocument/2006/relationships/hyperlink" Target="https://www.cdocast.com/induction_blog/the-complete-manufacturing-process-of-1mm-gold-and-silver-wire-from-casting-to-precision-drawing/" TargetMode="External"/></Relationship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html-to-docx</dc:creator>
  <cp:keywords>html-to-docx</cp:keywords>
  <dc:description/>
  <cp:lastModifiedBy>html-to-docx</cp:lastModifiedBy>
  <cp:revision>1</cp:revision>
  <dcterms:created xsi:type="dcterms:W3CDTF">2025-09-28T14:13:41.030Z</dcterms:created>
  <dcterms:modified xsi:type="dcterms:W3CDTF">2025-09-28T14:13:41.030Z</dcterms:modified>
</cp:coreProperties>
</file>